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ресурсоснабжающей организацией договорных обязательств на поставку электроэнергии, </w:t>
      </w:r>
      <w:r>
        <w:rPr>
          <w:sz w:val="28"/>
          <w:szCs w:val="28"/>
        </w:rPr>
        <w:t>учреждения образования, соответствующую</w:t>
      </w:r>
      <w:r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начальнику МУ «Управление образования администрации МО «Вешкаймский район», МКУ «Управление делами администрации МО «Вешкаймский район» представление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3,6 млн. рублей.</w:t>
      </w:r>
    </w:p>
    <w:p w14:paraId="3CB854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8365DD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736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94</Words>
  <Characters>539</Characters>
  <Lines>4</Lines>
  <Paragraphs>1</Paragraphs>
  <TotalTime>2</TotalTime>
  <ScaleCrop>false</ScaleCrop>
  <LinksUpToDate>false</LinksUpToDate>
  <CharactersWithSpaces>632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2025-02-21T05:45:00Z</dcterms:created>
  <dc:creator>acer</dc:creator>
  <cp:lastModifiedBy>Поселение Бекетовка</cp:lastModifiedBy>
  <dcterms:modified xsi:type="dcterms:W3CDTF">2025-02-28T07:01:59Z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EA35E656773645199064E24BBF29EB54_13</vt:lpwstr>
  </property>
</Properties>
</file>